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D92" w:rsidRDefault="006C0D92" w:rsidP="006C0D92">
      <w:pPr>
        <w:shd w:val="clear" w:color="auto" w:fill="ECF0F1"/>
        <w:spacing w:after="0" w:line="240" w:lineRule="auto"/>
        <w:outlineLvl w:val="1"/>
        <w:rPr>
          <w:rFonts w:ascii="Arial" w:eastAsia="Times New Roman" w:hAnsi="Arial" w:cs="Arial"/>
          <w:color w:val="252525"/>
          <w:sz w:val="30"/>
          <w:szCs w:val="30"/>
          <w:lang w:eastAsia="ru-RU"/>
        </w:rPr>
      </w:pPr>
    </w:p>
    <w:p w:rsidR="006C0D92" w:rsidRPr="006C0D92" w:rsidRDefault="006C0D92" w:rsidP="006C0D92">
      <w:pPr>
        <w:shd w:val="clear" w:color="auto" w:fill="ECF0F1"/>
        <w:spacing w:after="0" w:line="240" w:lineRule="auto"/>
        <w:outlineLvl w:val="1"/>
        <w:rPr>
          <w:rFonts w:ascii="Arial" w:eastAsia="Times New Roman" w:hAnsi="Arial" w:cs="Arial"/>
          <w:color w:val="252525"/>
          <w:sz w:val="30"/>
          <w:szCs w:val="30"/>
          <w:lang w:eastAsia="ru-RU"/>
        </w:rPr>
      </w:pPr>
      <w:r w:rsidRPr="006C0D92">
        <w:rPr>
          <w:rFonts w:ascii="Arial" w:eastAsia="Times New Roman" w:hAnsi="Arial" w:cs="Arial"/>
          <w:color w:val="252525"/>
          <w:sz w:val="30"/>
          <w:szCs w:val="30"/>
          <w:lang w:eastAsia="ru-RU"/>
        </w:rPr>
        <w:t>С 1 января 2022 года вступили в силу нововведения по НДФЛ</w:t>
      </w:r>
    </w:p>
    <w:p w:rsidR="006C0D92" w:rsidRPr="006C0D92" w:rsidRDefault="006C0D92" w:rsidP="006C0D92">
      <w:pPr>
        <w:spacing w:after="0" w:line="240" w:lineRule="auto"/>
        <w:rPr>
          <w:rFonts w:ascii="Times New Roman" w:eastAsia="Times New Roman" w:hAnsi="Times New Roman" w:cs="Times New Roman"/>
          <w:sz w:val="24"/>
          <w:szCs w:val="24"/>
          <w:lang w:eastAsia="ru-RU"/>
        </w:rPr>
      </w:pPr>
      <w:r w:rsidRPr="006C0D92">
        <w:rPr>
          <w:rFonts w:ascii="Arial" w:eastAsia="Times New Roman" w:hAnsi="Arial" w:cs="Arial"/>
          <w:color w:val="252525"/>
          <w:sz w:val="23"/>
          <w:szCs w:val="23"/>
          <w:lang w:eastAsia="ru-RU"/>
        </w:rPr>
        <w:br/>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С 1 января 2022 года введены изменения в налоговое законодательство, связанные с расчетом НДФЛ при операциях с недвижимостью.</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1. В декларации 3-НДФЛ можно не указывать доходы от продажи недвижимости или другого имущества (за исключением ценных бумаг) до истечения трех или пяти лет владения им. Нововведение касается тех, кто имеет право на имущественные налоговые вычеты в следующих размерах:</w:t>
      </w:r>
    </w:p>
    <w:p w:rsidR="006C0D92" w:rsidRPr="006C0D92" w:rsidRDefault="006C0D92" w:rsidP="00454C35">
      <w:pPr>
        <w:numPr>
          <w:ilvl w:val="0"/>
          <w:numId w:val="1"/>
        </w:numPr>
        <w:shd w:val="clear" w:color="auto" w:fill="ECF0F1"/>
        <w:tabs>
          <w:tab w:val="clear" w:pos="720"/>
          <w:tab w:val="num" w:pos="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1 млн</w:t>
      </w:r>
      <w:r w:rsidR="005F602B">
        <w:rPr>
          <w:rFonts w:ascii="Times New Roman" w:eastAsia="Times New Roman" w:hAnsi="Times New Roman" w:cs="Times New Roman"/>
          <w:color w:val="252525"/>
          <w:sz w:val="28"/>
          <w:szCs w:val="28"/>
          <w:lang w:eastAsia="ru-RU"/>
        </w:rPr>
        <w:t>.</w:t>
      </w:r>
      <w:r w:rsidRPr="006C0D92">
        <w:rPr>
          <w:rFonts w:ascii="Times New Roman" w:eastAsia="Times New Roman" w:hAnsi="Times New Roman" w:cs="Times New Roman"/>
          <w:color w:val="252525"/>
          <w:sz w:val="28"/>
          <w:szCs w:val="28"/>
          <w:lang w:eastAsia="ru-RU"/>
        </w:rPr>
        <w:t xml:space="preserve"> рублей за налоговый период (календарный год) - для жилых домов, квартир, комнат, включая приватизированные жилые помещения, садовые дома или земельные участки (доли в указанном имуществе);</w:t>
      </w:r>
    </w:p>
    <w:p w:rsidR="006C0D92" w:rsidRPr="006C0D92" w:rsidRDefault="006C0D92" w:rsidP="006C0D92">
      <w:pPr>
        <w:numPr>
          <w:ilvl w:val="0"/>
          <w:numId w:val="1"/>
        </w:numPr>
        <w:shd w:val="clear" w:color="auto" w:fill="ECF0F1"/>
        <w:spacing w:after="0" w:line="240" w:lineRule="auto"/>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250 тысяч рублей - для иного недвижимого имущества;</w:t>
      </w:r>
    </w:p>
    <w:p w:rsidR="006C0D92" w:rsidRPr="006C0D92" w:rsidRDefault="006C0D92" w:rsidP="00454C35">
      <w:pPr>
        <w:numPr>
          <w:ilvl w:val="0"/>
          <w:numId w:val="1"/>
        </w:numPr>
        <w:shd w:val="clear" w:color="auto" w:fill="ECF0F1"/>
        <w:tabs>
          <w:tab w:val="clear" w:pos="72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250 тысяч рублей - для иного имущества (за исключением ценных бумаг).</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Если же доходы от продажи имущества превышают размер вычетов, декларацию 3-НДФЛ представить все равно придется.</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xml:space="preserve">   2. При приобретении прав на квартиру, комнату (долю в них) в строящемся доме право на имущественный налоговый вычет возникает </w:t>
      </w:r>
      <w:proofErr w:type="gramStart"/>
      <w:r w:rsidRPr="006C0D92">
        <w:rPr>
          <w:rFonts w:ascii="Times New Roman" w:eastAsia="Times New Roman" w:hAnsi="Times New Roman" w:cs="Times New Roman"/>
          <w:color w:val="252525"/>
          <w:sz w:val="28"/>
          <w:szCs w:val="28"/>
          <w:lang w:eastAsia="ru-RU"/>
        </w:rPr>
        <w:t>с даты передачи</w:t>
      </w:r>
      <w:proofErr w:type="gramEnd"/>
      <w:r w:rsidRPr="006C0D92">
        <w:rPr>
          <w:rFonts w:ascii="Times New Roman" w:eastAsia="Times New Roman" w:hAnsi="Times New Roman" w:cs="Times New Roman"/>
          <w:color w:val="252525"/>
          <w:sz w:val="28"/>
          <w:szCs w:val="28"/>
          <w:lang w:eastAsia="ru-RU"/>
        </w:rPr>
        <w:t xml:space="preserve"> объекта долевого строительства застройщиком и принятия его участником долевого строительства по подписанному ими передаточному акту (иному документу о передаче объекта долевого строительства).</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В этом случае налогоплательщик имеет право обратиться за получением вычета после государственной регистрации права собственности на недвижимость. Изменения применяются в отношении объектов долевого строительства (доли в них), переданных застройщиком и принятых участником долевого строительства с 01.01.2022.</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Основанием нововведения является Федеральный закон от 20.04.2021 № 100-ФЗ.</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3. Семьи с детьми теперь освобождаются от уплаты НДФЛ при продаже недвижимости независимо от срока владения этим имуществом. Нововведение касается доходов, полученных от продажи жилья в 2021 году.</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Такой порядок применяется при соблюдении ряда условий:</w:t>
      </w:r>
    </w:p>
    <w:p w:rsidR="006C0D92" w:rsidRPr="006C0D92" w:rsidRDefault="006C0D92" w:rsidP="00454C35">
      <w:pPr>
        <w:numPr>
          <w:ilvl w:val="0"/>
          <w:numId w:val="2"/>
        </w:numPr>
        <w:shd w:val="clear" w:color="auto" w:fill="ECF0F1"/>
        <w:tabs>
          <w:tab w:val="clear" w:pos="72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 xml:space="preserve">до 30 апреля следующего года налогоплательщик или члены его семьи приобрели в собственность другое жилье, а в случае долевого строительства </w:t>
      </w:r>
      <w:proofErr w:type="gramStart"/>
      <w:r w:rsidRPr="006C0D92">
        <w:rPr>
          <w:rFonts w:ascii="Times New Roman" w:eastAsia="Times New Roman" w:hAnsi="Times New Roman" w:cs="Times New Roman"/>
          <w:color w:val="252525"/>
          <w:sz w:val="28"/>
          <w:szCs w:val="28"/>
          <w:lang w:eastAsia="ru-RU"/>
        </w:rPr>
        <w:t>оплатили полную стоимость жилого</w:t>
      </w:r>
      <w:proofErr w:type="gramEnd"/>
      <w:r w:rsidRPr="006C0D92">
        <w:rPr>
          <w:rFonts w:ascii="Times New Roman" w:eastAsia="Times New Roman" w:hAnsi="Times New Roman" w:cs="Times New Roman"/>
          <w:color w:val="252525"/>
          <w:sz w:val="28"/>
          <w:szCs w:val="28"/>
          <w:lang w:eastAsia="ru-RU"/>
        </w:rPr>
        <w:t xml:space="preserve"> помещения по договору;</w:t>
      </w:r>
    </w:p>
    <w:p w:rsidR="006C0D92" w:rsidRPr="006C0D92" w:rsidRDefault="006C0D92" w:rsidP="006C0D92">
      <w:pPr>
        <w:numPr>
          <w:ilvl w:val="0"/>
          <w:numId w:val="2"/>
        </w:numPr>
        <w:shd w:val="clear" w:color="auto" w:fill="ECF0F1"/>
        <w:spacing w:after="0" w:line="240" w:lineRule="auto"/>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общая площадь приобретенного жилого помещения превышает по площади или в размере кадастровой стоимости проданное имущество.</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Кроме того:</w:t>
      </w:r>
    </w:p>
    <w:p w:rsidR="006C0D92" w:rsidRPr="006C0D92" w:rsidRDefault="006C0D92" w:rsidP="006C0D92">
      <w:pPr>
        <w:numPr>
          <w:ilvl w:val="0"/>
          <w:numId w:val="3"/>
        </w:numPr>
        <w:shd w:val="clear" w:color="auto" w:fill="ECF0F1"/>
        <w:spacing w:after="0" w:line="240" w:lineRule="auto"/>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 xml:space="preserve">возраст детей до 18 лет (или до 24 лет, если ребенок учится </w:t>
      </w:r>
      <w:proofErr w:type="spellStart"/>
      <w:r w:rsidRPr="006C0D92">
        <w:rPr>
          <w:rFonts w:ascii="Times New Roman" w:eastAsia="Times New Roman" w:hAnsi="Times New Roman" w:cs="Times New Roman"/>
          <w:color w:val="252525"/>
          <w:sz w:val="28"/>
          <w:szCs w:val="28"/>
          <w:lang w:eastAsia="ru-RU"/>
        </w:rPr>
        <w:t>очно</w:t>
      </w:r>
      <w:proofErr w:type="spellEnd"/>
      <w:r w:rsidRPr="006C0D92">
        <w:rPr>
          <w:rFonts w:ascii="Times New Roman" w:eastAsia="Times New Roman" w:hAnsi="Times New Roman" w:cs="Times New Roman"/>
          <w:color w:val="252525"/>
          <w:sz w:val="28"/>
          <w:szCs w:val="28"/>
          <w:lang w:eastAsia="ru-RU"/>
        </w:rPr>
        <w:t>);</w:t>
      </w:r>
    </w:p>
    <w:p w:rsidR="006C0D92" w:rsidRPr="006C0D92" w:rsidRDefault="006C0D92" w:rsidP="00454C35">
      <w:pPr>
        <w:numPr>
          <w:ilvl w:val="0"/>
          <w:numId w:val="3"/>
        </w:numPr>
        <w:shd w:val="clear" w:color="auto" w:fill="ECF0F1"/>
        <w:tabs>
          <w:tab w:val="clear" w:pos="720"/>
          <w:tab w:val="num" w:pos="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 xml:space="preserve">кадастровая стоимость проданного жилого помещения не превышает 50 </w:t>
      </w:r>
      <w:proofErr w:type="spellStart"/>
      <w:proofErr w:type="gramStart"/>
      <w:r w:rsidRPr="006C0D92">
        <w:rPr>
          <w:rFonts w:ascii="Times New Roman" w:eastAsia="Times New Roman" w:hAnsi="Times New Roman" w:cs="Times New Roman"/>
          <w:color w:val="252525"/>
          <w:sz w:val="28"/>
          <w:szCs w:val="28"/>
          <w:lang w:eastAsia="ru-RU"/>
        </w:rPr>
        <w:t>млн</w:t>
      </w:r>
      <w:proofErr w:type="spellEnd"/>
      <w:proofErr w:type="gramEnd"/>
      <w:r w:rsidRPr="006C0D92">
        <w:rPr>
          <w:rFonts w:ascii="Times New Roman" w:eastAsia="Times New Roman" w:hAnsi="Times New Roman" w:cs="Times New Roman"/>
          <w:color w:val="252525"/>
          <w:sz w:val="28"/>
          <w:szCs w:val="28"/>
          <w:lang w:eastAsia="ru-RU"/>
        </w:rPr>
        <w:t xml:space="preserve"> рублей;</w:t>
      </w:r>
    </w:p>
    <w:p w:rsidR="006C0D92" w:rsidRPr="006C0D92" w:rsidRDefault="006C0D92" w:rsidP="00454C35">
      <w:pPr>
        <w:numPr>
          <w:ilvl w:val="0"/>
          <w:numId w:val="3"/>
        </w:numPr>
        <w:shd w:val="clear" w:color="auto" w:fill="ECF0F1"/>
        <w:tabs>
          <w:tab w:val="clear" w:pos="720"/>
        </w:tabs>
        <w:spacing w:after="0" w:line="240" w:lineRule="auto"/>
        <w:ind w:left="0" w:firstLine="360"/>
        <w:jc w:val="both"/>
        <w:rPr>
          <w:rFonts w:ascii="Arial" w:eastAsia="Times New Roman" w:hAnsi="Arial" w:cs="Arial"/>
          <w:color w:val="252525"/>
          <w:sz w:val="18"/>
          <w:szCs w:val="18"/>
          <w:lang w:eastAsia="ru-RU"/>
        </w:rPr>
      </w:pPr>
      <w:r w:rsidRPr="006C0D92">
        <w:rPr>
          <w:rFonts w:ascii="Times New Roman" w:eastAsia="Times New Roman" w:hAnsi="Times New Roman" w:cs="Times New Roman"/>
          <w:color w:val="252525"/>
          <w:sz w:val="28"/>
          <w:szCs w:val="28"/>
          <w:lang w:eastAsia="ru-RU"/>
        </w:rPr>
        <w:t xml:space="preserve">налогоплательщик или члены его семьи на дату отчуждения проданного жилья не владеют в совокупности более 50% в праве </w:t>
      </w:r>
      <w:r w:rsidRPr="006C0D92">
        <w:rPr>
          <w:rFonts w:ascii="Times New Roman" w:eastAsia="Times New Roman" w:hAnsi="Times New Roman" w:cs="Times New Roman"/>
          <w:color w:val="252525"/>
          <w:sz w:val="28"/>
          <w:szCs w:val="28"/>
          <w:lang w:eastAsia="ru-RU"/>
        </w:rPr>
        <w:lastRenderedPageBreak/>
        <w:t>собственности на иное жилое помещение с общей площадью, превышающей общую площадь купленного взамен старого жилого помещения.</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xml:space="preserve">Нововведение распространяется и </w:t>
      </w:r>
      <w:proofErr w:type="gramStart"/>
      <w:r w:rsidRPr="006C0D92">
        <w:rPr>
          <w:rFonts w:ascii="Times New Roman" w:eastAsia="Times New Roman" w:hAnsi="Times New Roman" w:cs="Times New Roman"/>
          <w:color w:val="252525"/>
          <w:sz w:val="28"/>
          <w:szCs w:val="28"/>
          <w:lang w:eastAsia="ru-RU"/>
        </w:rPr>
        <w:t>на те</w:t>
      </w:r>
      <w:proofErr w:type="gramEnd"/>
      <w:r w:rsidRPr="006C0D92">
        <w:rPr>
          <w:rFonts w:ascii="Times New Roman" w:eastAsia="Times New Roman" w:hAnsi="Times New Roman" w:cs="Times New Roman"/>
          <w:color w:val="252525"/>
          <w:sz w:val="28"/>
          <w:szCs w:val="28"/>
          <w:lang w:eastAsia="ru-RU"/>
        </w:rPr>
        <w:t xml:space="preserve"> случаи, если доходы от продажи объекта имущества получает несовершеннолетний ребенок из такой семьи.</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4. Минимальный предельный срок владения объектом недвижимости, приобретенным по договору ДДУ, отсчитывается с момента полной оплаты стоимости объекта по такому договору. Таким образом, не учитывается момент дополнительной оплаты, связанной с увеличением площади такого объекта после ввода дома в эксплуатацию.</w:t>
      </w:r>
    </w:p>
    <w:p w:rsidR="006C0D92" w:rsidRPr="006C0D92" w:rsidRDefault="006C0D92" w:rsidP="006C0D92">
      <w:pPr>
        <w:shd w:val="clear" w:color="auto" w:fill="ECF0F1"/>
        <w:spacing w:after="0" w:line="264" w:lineRule="atLeast"/>
        <w:jc w:val="both"/>
        <w:rPr>
          <w:rFonts w:ascii="Arial" w:eastAsia="Times New Roman" w:hAnsi="Arial" w:cs="Arial"/>
          <w:color w:val="252525"/>
          <w:sz w:val="19"/>
          <w:szCs w:val="19"/>
          <w:lang w:eastAsia="ru-RU"/>
        </w:rPr>
      </w:pPr>
      <w:r w:rsidRPr="006C0D92">
        <w:rPr>
          <w:rFonts w:ascii="Times New Roman" w:eastAsia="Times New Roman" w:hAnsi="Times New Roman" w:cs="Times New Roman"/>
          <w:color w:val="252525"/>
          <w:sz w:val="28"/>
          <w:szCs w:val="28"/>
          <w:lang w:eastAsia="ru-RU"/>
        </w:rPr>
        <w:t>   Указанное положение распространяется на доходы физических лиц с налогового периода 2019 года. Данное изменение в законодательство РФ введено Федеральным законом от 02.07.2021 № 305-ФЗ.</w:t>
      </w:r>
    </w:p>
    <w:p w:rsidR="00090C08" w:rsidRDefault="00090C08"/>
    <w:sectPr w:rsidR="00090C08" w:rsidSect="00090C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B62CE"/>
    <w:multiLevelType w:val="multilevel"/>
    <w:tmpl w:val="76AA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180EBA"/>
    <w:multiLevelType w:val="multilevel"/>
    <w:tmpl w:val="4C1EA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761F50"/>
    <w:multiLevelType w:val="multilevel"/>
    <w:tmpl w:val="E794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6C0D92"/>
    <w:rsid w:val="00090C08"/>
    <w:rsid w:val="00454C35"/>
    <w:rsid w:val="005F602B"/>
    <w:rsid w:val="006C0D92"/>
    <w:rsid w:val="00951A2B"/>
    <w:rsid w:val="009E2933"/>
    <w:rsid w:val="00C165E1"/>
    <w:rsid w:val="00D520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0CC"/>
  </w:style>
  <w:style w:type="paragraph" w:styleId="1">
    <w:name w:val="heading 1"/>
    <w:basedOn w:val="a"/>
    <w:next w:val="a"/>
    <w:link w:val="10"/>
    <w:qFormat/>
    <w:rsid w:val="00D520CC"/>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link w:val="20"/>
    <w:uiPriority w:val="9"/>
    <w:qFormat/>
    <w:rsid w:val="006C0D9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20CC"/>
    <w:rPr>
      <w:rFonts w:ascii="Cambria" w:eastAsia="Times New Roman" w:hAnsi="Cambria" w:cs="Times New Roman"/>
      <w:b/>
      <w:bCs/>
      <w:kern w:val="32"/>
      <w:sz w:val="32"/>
      <w:szCs w:val="32"/>
      <w:lang w:eastAsia="ru-RU"/>
    </w:rPr>
  </w:style>
  <w:style w:type="character" w:styleId="a3">
    <w:name w:val="Strong"/>
    <w:basedOn w:val="a0"/>
    <w:uiPriority w:val="22"/>
    <w:qFormat/>
    <w:rsid w:val="00D520CC"/>
    <w:rPr>
      <w:b/>
      <w:bCs/>
    </w:rPr>
  </w:style>
  <w:style w:type="character" w:styleId="a4">
    <w:name w:val="Emphasis"/>
    <w:basedOn w:val="a0"/>
    <w:uiPriority w:val="20"/>
    <w:qFormat/>
    <w:rsid w:val="00D520CC"/>
    <w:rPr>
      <w:i/>
      <w:iCs/>
    </w:rPr>
  </w:style>
  <w:style w:type="paragraph" w:styleId="a5">
    <w:name w:val="No Spacing"/>
    <w:link w:val="a6"/>
    <w:uiPriority w:val="99"/>
    <w:qFormat/>
    <w:rsid w:val="00D520CC"/>
    <w:pPr>
      <w:spacing w:after="0" w:line="240" w:lineRule="auto"/>
    </w:pPr>
    <w:rPr>
      <w:rFonts w:ascii="Times New Roman" w:eastAsia="Times New Roman" w:hAnsi="Times New Roman" w:cs="Times New Roman"/>
      <w:sz w:val="20"/>
      <w:szCs w:val="20"/>
      <w:lang w:eastAsia="ru-RU"/>
    </w:rPr>
  </w:style>
  <w:style w:type="character" w:customStyle="1" w:styleId="a6">
    <w:name w:val="Без интервала Знак"/>
    <w:link w:val="a5"/>
    <w:uiPriority w:val="99"/>
    <w:locked/>
    <w:rsid w:val="00D520CC"/>
    <w:rPr>
      <w:rFonts w:ascii="Times New Roman" w:eastAsia="Times New Roman" w:hAnsi="Times New Roman" w:cs="Times New Roman"/>
      <w:sz w:val="20"/>
      <w:szCs w:val="20"/>
      <w:lang w:eastAsia="ru-RU"/>
    </w:rPr>
  </w:style>
  <w:style w:type="paragraph" w:styleId="a7">
    <w:name w:val="List Paragraph"/>
    <w:aliases w:val="ПАРАГРАФ,List Paragraph"/>
    <w:basedOn w:val="a"/>
    <w:link w:val="a8"/>
    <w:uiPriority w:val="34"/>
    <w:qFormat/>
    <w:rsid w:val="00D520CC"/>
    <w:pPr>
      <w:spacing w:after="0" w:line="240" w:lineRule="auto"/>
      <w:ind w:left="720"/>
      <w:contextualSpacing/>
    </w:pPr>
    <w:rPr>
      <w:rFonts w:ascii="Times New Roman" w:eastAsia="Calibri" w:hAnsi="Times New Roman" w:cs="Times New Roman"/>
      <w:sz w:val="28"/>
    </w:rPr>
  </w:style>
  <w:style w:type="character" w:customStyle="1" w:styleId="a8">
    <w:name w:val="Абзац списка Знак"/>
    <w:aliases w:val="ПАРАГРАФ Знак,List Paragraph Знак"/>
    <w:link w:val="a7"/>
    <w:uiPriority w:val="34"/>
    <w:locked/>
    <w:rsid w:val="00D520CC"/>
    <w:rPr>
      <w:rFonts w:ascii="Times New Roman" w:eastAsia="Calibri" w:hAnsi="Times New Roman" w:cs="Times New Roman"/>
      <w:sz w:val="28"/>
    </w:rPr>
  </w:style>
  <w:style w:type="paragraph" w:customStyle="1" w:styleId="TableParagraph">
    <w:name w:val="Table Paragraph"/>
    <w:basedOn w:val="a"/>
    <w:uiPriority w:val="1"/>
    <w:qFormat/>
    <w:rsid w:val="00D520C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0">
    <w:name w:val="Заголовок 2 Знак"/>
    <w:basedOn w:val="a0"/>
    <w:link w:val="2"/>
    <w:uiPriority w:val="9"/>
    <w:rsid w:val="006C0D92"/>
    <w:rPr>
      <w:rFonts w:ascii="Times New Roman" w:eastAsia="Times New Roman" w:hAnsi="Times New Roman" w:cs="Times New Roman"/>
      <w:b/>
      <w:bCs/>
      <w:sz w:val="36"/>
      <w:szCs w:val="36"/>
      <w:lang w:eastAsia="ru-RU"/>
    </w:rPr>
  </w:style>
  <w:style w:type="paragraph" w:styleId="a9">
    <w:name w:val="Normal (Web)"/>
    <w:basedOn w:val="a"/>
    <w:uiPriority w:val="99"/>
    <w:semiHidden/>
    <w:unhideWhenUsed/>
    <w:rsid w:val="006C0D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6C0D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0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357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482</Words>
  <Characters>2751</Characters>
  <Application>Microsoft Office Word</Application>
  <DocSecurity>0</DocSecurity>
  <Lines>22</Lines>
  <Paragraphs>6</Paragraphs>
  <ScaleCrop>false</ScaleCrop>
  <Company>Reanimator Extreme Edition</Company>
  <LinksUpToDate>false</LinksUpToDate>
  <CharactersWithSpaces>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dc:creator>
  <cp:lastModifiedBy>economic</cp:lastModifiedBy>
  <cp:revision>4</cp:revision>
  <cp:lastPrinted>2022-04-08T08:24:00Z</cp:lastPrinted>
  <dcterms:created xsi:type="dcterms:W3CDTF">2022-04-08T08:23:00Z</dcterms:created>
  <dcterms:modified xsi:type="dcterms:W3CDTF">2022-04-11T06:53:00Z</dcterms:modified>
</cp:coreProperties>
</file>